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2F279" w14:textId="35712358" w:rsidR="00C77DD4" w:rsidRPr="003B4A4B" w:rsidRDefault="00FC0F85" w:rsidP="00D2602A">
      <w:pPr>
        <w:spacing w:after="0" w:line="240" w:lineRule="auto"/>
        <w:rPr>
          <w:b/>
          <w:bCs/>
        </w:rPr>
      </w:pPr>
      <w:r w:rsidRPr="003B4A4B">
        <w:rPr>
          <w:b/>
          <w:bCs/>
        </w:rPr>
        <w:t>Resources Related to Advocacy</w:t>
      </w:r>
    </w:p>
    <w:p w14:paraId="757E5D9B" w14:textId="77777777" w:rsidR="007E1657" w:rsidRDefault="007E1657" w:rsidP="00D2602A">
      <w:pPr>
        <w:spacing w:after="0" w:line="240" w:lineRule="auto"/>
      </w:pPr>
    </w:p>
    <w:p w14:paraId="1E142598" w14:textId="23AA148C" w:rsidR="00FC0F85" w:rsidRDefault="00FC0F85" w:rsidP="00D2602A">
      <w:pPr>
        <w:spacing w:after="0" w:line="240" w:lineRule="auto"/>
      </w:pPr>
      <w:r>
        <w:t>In preparation for the PIE Workshop (2025), the Professional Issues &amp; Ethics Committee gathered the following resources</w:t>
      </w:r>
      <w:r w:rsidR="002558D3">
        <w:t>.</w:t>
      </w:r>
    </w:p>
    <w:p w14:paraId="6184B8D5" w14:textId="77777777" w:rsidR="00D2602A" w:rsidRDefault="00D2602A" w:rsidP="00D2602A">
      <w:pPr>
        <w:spacing w:after="0" w:line="240" w:lineRule="auto"/>
      </w:pPr>
    </w:p>
    <w:tbl>
      <w:tblPr>
        <w:tblStyle w:val="TableGrid"/>
        <w:tblW w:w="0" w:type="auto"/>
        <w:shd w:val="clear" w:color="auto" w:fill="C1F0C7" w:themeFill="accent3" w:themeFillTint="33"/>
        <w:tblLook w:val="04A0" w:firstRow="1" w:lastRow="0" w:firstColumn="1" w:lastColumn="0" w:noHBand="0" w:noVBand="1"/>
      </w:tblPr>
      <w:tblGrid>
        <w:gridCol w:w="9350"/>
      </w:tblGrid>
      <w:tr w:rsidR="00D2602A" w14:paraId="23D6C410" w14:textId="77777777" w:rsidTr="00D2602A">
        <w:tc>
          <w:tcPr>
            <w:tcW w:w="9350" w:type="dxa"/>
            <w:tcBorders>
              <w:top w:val="nil"/>
              <w:left w:val="nil"/>
              <w:bottom w:val="nil"/>
              <w:right w:val="nil"/>
            </w:tcBorders>
            <w:shd w:val="clear" w:color="auto" w:fill="C1F0C7" w:themeFill="accent3" w:themeFillTint="33"/>
          </w:tcPr>
          <w:p w14:paraId="4285D8B1" w14:textId="2B010CD1" w:rsidR="00D2602A" w:rsidRPr="00D2602A" w:rsidRDefault="00D2602A" w:rsidP="00D2602A">
            <w:pPr>
              <w:rPr>
                <w:b/>
                <w:bCs/>
              </w:rPr>
            </w:pPr>
            <w:r>
              <w:rPr>
                <w:b/>
                <w:bCs/>
              </w:rPr>
              <w:t>Speech</w:t>
            </w:r>
          </w:p>
        </w:tc>
      </w:tr>
    </w:tbl>
    <w:p w14:paraId="71072EB7" w14:textId="77777777" w:rsidR="00D2602A" w:rsidRDefault="00D2602A" w:rsidP="00D2602A">
      <w:pPr>
        <w:spacing w:after="0" w:line="240" w:lineRule="auto"/>
        <w:rPr>
          <w:b/>
          <w:bCs/>
        </w:rPr>
      </w:pPr>
    </w:p>
    <w:p w14:paraId="619F9320" w14:textId="46F89B9B" w:rsidR="00947AE4" w:rsidRDefault="00947AE4" w:rsidP="00D2602A">
      <w:pPr>
        <w:spacing w:after="0" w:line="240" w:lineRule="auto"/>
        <w:ind w:left="720"/>
      </w:pPr>
      <w:r w:rsidRPr="7B47C74D">
        <w:rPr>
          <w:b/>
          <w:bCs/>
        </w:rPr>
        <w:t>Spring 2025 Reminde</w:t>
      </w:r>
      <w:r w:rsidR="316C69F9" w:rsidRPr="7B47C74D">
        <w:rPr>
          <w:b/>
          <w:bCs/>
        </w:rPr>
        <w:t>r</w:t>
      </w:r>
      <w:r w:rsidRPr="7B47C74D">
        <w:rPr>
          <w:b/>
          <w:bCs/>
        </w:rPr>
        <w:t xml:space="preserve"> on Political Activity</w:t>
      </w:r>
      <w:r>
        <w:t xml:space="preserve">: </w:t>
      </w:r>
      <w:hyperlink r:id="rId5">
        <w:r w:rsidRPr="7B47C74D">
          <w:rPr>
            <w:rStyle w:val="Hyperlink"/>
          </w:rPr>
          <w:t>https://attheu.utah.edu/facultystaff/spring-2025-annual-notification-to-campus-of-selected-university-of-utah-policies-and-resources/</w:t>
        </w:r>
      </w:hyperlink>
    </w:p>
    <w:p w14:paraId="3296F601" w14:textId="475F6576" w:rsidR="00947AE4" w:rsidRPr="00947AE4" w:rsidRDefault="00947AE4" w:rsidP="00FA28F0">
      <w:pPr>
        <w:spacing w:after="0" w:line="240" w:lineRule="auto"/>
        <w:ind w:left="1440"/>
      </w:pPr>
      <w:r>
        <w:t xml:space="preserve">Reminders of some of the following policies, with </w:t>
      </w:r>
      <w:r w:rsidR="00FA28F0">
        <w:t>emphasis that policies “</w:t>
      </w:r>
      <w:r>
        <w:t xml:space="preserve">do not prohibit university employees from speaking on matters of public concern as private citizens on their own time and with their own resources (e.g., personal email instead of </w:t>
      </w:r>
      <w:proofErr w:type="spellStart"/>
      <w:r>
        <w:t>UMail</w:t>
      </w:r>
      <w:proofErr w:type="spellEnd"/>
      <w:r>
        <w:t>; personal letterhead instead of university letterhead; etc.)</w:t>
      </w:r>
      <w:r w:rsidR="75FFB748">
        <w:t>,</w:t>
      </w:r>
      <w:r w:rsidR="00FA28F0">
        <w:t>” and that</w:t>
      </w:r>
      <w:r w:rsidR="42375E4D">
        <w:t>,</w:t>
      </w:r>
      <w:r w:rsidR="00FA28F0">
        <w:t xml:space="preserve"> “</w:t>
      </w:r>
      <w:r>
        <w:t>Faculty members and staff must avoid exploiting the university’s name, brand or their own relationship with the university for personal reasons unrelated to their legitimate academic or professional activities. They must not intentionally create the impression, in public appearances or statements, that they are representing the university unless, in fact, they are.</w:t>
      </w:r>
      <w:r w:rsidR="00FA28F0">
        <w:t>”</w:t>
      </w:r>
    </w:p>
    <w:p w14:paraId="51BFC6DB" w14:textId="156ADA89" w:rsidR="7B47C74D" w:rsidRDefault="7B47C74D" w:rsidP="7B47C74D">
      <w:pPr>
        <w:spacing w:after="0" w:line="240" w:lineRule="auto"/>
        <w:ind w:left="1440"/>
      </w:pPr>
    </w:p>
    <w:p w14:paraId="75364B78" w14:textId="775A6347" w:rsidR="00FC0F85" w:rsidRDefault="00FC0F85" w:rsidP="00D2602A">
      <w:pPr>
        <w:spacing w:after="0" w:line="240" w:lineRule="auto"/>
        <w:ind w:left="720"/>
      </w:pPr>
      <w:r w:rsidRPr="00FC0F85">
        <w:rPr>
          <w:b/>
          <w:bCs/>
        </w:rPr>
        <w:t>University Speech Policy</w:t>
      </w:r>
      <w:r>
        <w:t xml:space="preserve">: </w:t>
      </w:r>
      <w:hyperlink r:id="rId6" w:history="1">
        <w:r w:rsidRPr="000B22A8">
          <w:rPr>
            <w:rStyle w:val="Hyperlink"/>
          </w:rPr>
          <w:t>https://regulations.utah.edu/general/1-007.php</w:t>
        </w:r>
      </w:hyperlink>
    </w:p>
    <w:p w14:paraId="1BD9FAB1" w14:textId="32135EA8" w:rsidR="00F26697" w:rsidRPr="00F26697" w:rsidRDefault="00FC0F85" w:rsidP="008E046E">
      <w:pPr>
        <w:spacing w:after="0" w:line="240" w:lineRule="auto"/>
        <w:ind w:left="1440"/>
      </w:pPr>
      <w:r>
        <w:t xml:space="preserve">Rules related to free speech that are applicable to all persons on the University of Utah campus. This includes general policies, regulations about university facilities, </w:t>
      </w:r>
      <w:r w:rsidR="003B4A4B">
        <w:t xml:space="preserve">signs/literature/structures, and demonstrations. </w:t>
      </w:r>
      <w:r w:rsidR="00F26697">
        <w:t>Specific guidance related to employees</w:t>
      </w:r>
      <w:r w:rsidR="00482A17">
        <w:t xml:space="preserve"> and students on stances that can or cannot be taken on behalf of the university (i.e., institutional neutrality) and distinctions between institutional speech and academic freedom. </w:t>
      </w:r>
    </w:p>
    <w:p w14:paraId="19972DF0" w14:textId="2C2332DE" w:rsidR="00FC0F85" w:rsidRDefault="00FC0F85" w:rsidP="008E046E">
      <w:pPr>
        <w:spacing w:after="0" w:line="240" w:lineRule="auto"/>
      </w:pPr>
    </w:p>
    <w:p w14:paraId="0BEE9722" w14:textId="3AA11265" w:rsidR="003B4A4B" w:rsidRDefault="003B4A4B" w:rsidP="00D2602A">
      <w:pPr>
        <w:spacing w:after="0" w:line="240" w:lineRule="auto"/>
        <w:ind w:left="720"/>
      </w:pPr>
      <w:r>
        <w:rPr>
          <w:b/>
          <w:bCs/>
        </w:rPr>
        <w:t>Engaging with policymakers</w:t>
      </w:r>
      <w:r>
        <w:t xml:space="preserve">: </w:t>
      </w:r>
      <w:hyperlink r:id="rId7" w:history="1">
        <w:r w:rsidRPr="000B22A8">
          <w:rPr>
            <w:rStyle w:val="Hyperlink"/>
          </w:rPr>
          <w:t>https://attheu.utah.edu/facultystaff/engaging-with-policymakers-as-a-u-clinician-or-scholar/</w:t>
        </w:r>
      </w:hyperlink>
    </w:p>
    <w:p w14:paraId="55B419A6" w14:textId="7E63825B" w:rsidR="00D2602A" w:rsidRDefault="003B4A4B" w:rsidP="00D2602A">
      <w:pPr>
        <w:spacing w:after="0" w:line="240" w:lineRule="auto"/>
        <w:ind w:left="1440"/>
      </w:pPr>
      <w:r>
        <w:t>Information related to engaging with policymakers as a University of Utah employee.</w:t>
      </w:r>
      <w:r w:rsidR="002037D4">
        <w:br/>
      </w:r>
    </w:p>
    <w:p w14:paraId="1C90B024" w14:textId="67420EBF" w:rsidR="00947AE4" w:rsidRDefault="00947AE4" w:rsidP="00947AE4">
      <w:pPr>
        <w:spacing w:after="0" w:line="240" w:lineRule="auto"/>
        <w:ind w:left="720"/>
      </w:pPr>
      <w:r>
        <w:rPr>
          <w:b/>
          <w:bCs/>
        </w:rPr>
        <w:t>Legislative Communications</w:t>
      </w:r>
      <w:r>
        <w:t xml:space="preserve">: </w:t>
      </w:r>
      <w:hyperlink r:id="rId8" w:history="1">
        <w:r w:rsidRPr="000B22A8">
          <w:rPr>
            <w:rStyle w:val="Hyperlink"/>
          </w:rPr>
          <w:t>https://public.powerdms.com/Uta7295/tree/documents/1826163</w:t>
        </w:r>
      </w:hyperlink>
    </w:p>
    <w:p w14:paraId="1BEBD840" w14:textId="41D3D9E1" w:rsidR="00947AE4" w:rsidRPr="00947AE4" w:rsidRDefault="00947AE4" w:rsidP="00947AE4">
      <w:pPr>
        <w:spacing w:after="0" w:line="240" w:lineRule="auto"/>
        <w:ind w:left="1440"/>
      </w:pPr>
      <w:r w:rsidRPr="00947AE4">
        <w:t>Legislative communication guidance from USHE.</w:t>
      </w:r>
    </w:p>
    <w:p w14:paraId="75D9B10C" w14:textId="77777777" w:rsidR="00D2602A" w:rsidRDefault="00D2602A" w:rsidP="00D2602A">
      <w:pPr>
        <w:spacing w:after="0" w:line="240" w:lineRule="auto"/>
        <w:ind w:left="1440"/>
      </w:pPr>
    </w:p>
    <w:tbl>
      <w:tblPr>
        <w:tblStyle w:val="TableGrid"/>
        <w:tblW w:w="0" w:type="auto"/>
        <w:shd w:val="clear" w:color="auto" w:fill="C1F0C7" w:themeFill="accent3" w:themeFillTint="33"/>
        <w:tblLook w:val="04A0" w:firstRow="1" w:lastRow="0" w:firstColumn="1" w:lastColumn="0" w:noHBand="0" w:noVBand="1"/>
      </w:tblPr>
      <w:tblGrid>
        <w:gridCol w:w="9350"/>
      </w:tblGrid>
      <w:tr w:rsidR="00D2602A" w14:paraId="7A0E86CC" w14:textId="77777777" w:rsidTr="00854CE7">
        <w:tc>
          <w:tcPr>
            <w:tcW w:w="9350" w:type="dxa"/>
            <w:tcBorders>
              <w:top w:val="nil"/>
              <w:left w:val="nil"/>
              <w:bottom w:val="nil"/>
              <w:right w:val="nil"/>
            </w:tcBorders>
            <w:shd w:val="clear" w:color="auto" w:fill="C1F0C7" w:themeFill="accent3" w:themeFillTint="33"/>
          </w:tcPr>
          <w:p w14:paraId="7948D489" w14:textId="14239B7E" w:rsidR="00D2602A" w:rsidRPr="00D2602A" w:rsidRDefault="00D2602A" w:rsidP="00D2602A">
            <w:pPr>
              <w:rPr>
                <w:b/>
                <w:bCs/>
              </w:rPr>
            </w:pPr>
            <w:r>
              <w:rPr>
                <w:b/>
                <w:bCs/>
              </w:rPr>
              <w:t>Employees</w:t>
            </w:r>
          </w:p>
        </w:tc>
      </w:tr>
    </w:tbl>
    <w:p w14:paraId="48C448B8" w14:textId="77777777" w:rsidR="00D2602A" w:rsidRDefault="00D2602A" w:rsidP="00D2602A">
      <w:pPr>
        <w:spacing w:after="0" w:line="240" w:lineRule="auto"/>
        <w:ind w:left="720"/>
        <w:rPr>
          <w:b/>
          <w:bCs/>
        </w:rPr>
      </w:pPr>
    </w:p>
    <w:p w14:paraId="01EE116C" w14:textId="307D0F64" w:rsidR="00D2602A" w:rsidRDefault="00D2602A" w:rsidP="00D2602A">
      <w:pPr>
        <w:spacing w:after="0" w:line="240" w:lineRule="auto"/>
        <w:ind w:left="720"/>
      </w:pPr>
      <w:r w:rsidRPr="003B4A4B">
        <w:rPr>
          <w:b/>
          <w:bCs/>
        </w:rPr>
        <w:t>Employee Relations and Organizations</w:t>
      </w:r>
      <w:r>
        <w:t xml:space="preserve">: </w:t>
      </w:r>
      <w:hyperlink r:id="rId9" w:history="1">
        <w:r w:rsidRPr="000B22A8">
          <w:rPr>
            <w:rStyle w:val="Hyperlink"/>
          </w:rPr>
          <w:t>https://regulations.utah.edu/human-resources/5-100.php</w:t>
        </w:r>
      </w:hyperlink>
    </w:p>
    <w:p w14:paraId="5036EF2C" w14:textId="3B6A0209" w:rsidR="00D2602A" w:rsidRDefault="00D2602A" w:rsidP="00D2602A">
      <w:pPr>
        <w:spacing w:after="0" w:line="240" w:lineRule="auto"/>
        <w:ind w:left="1440"/>
      </w:pPr>
      <w:r>
        <w:t>Rules related Employee Organizations.</w:t>
      </w:r>
    </w:p>
    <w:p w14:paraId="6798AE2E" w14:textId="77777777" w:rsidR="00D2602A" w:rsidRDefault="00D2602A" w:rsidP="00D2602A">
      <w:pPr>
        <w:spacing w:after="0" w:line="240" w:lineRule="auto"/>
      </w:pPr>
    </w:p>
    <w:tbl>
      <w:tblPr>
        <w:tblStyle w:val="TableGrid"/>
        <w:tblW w:w="0" w:type="auto"/>
        <w:shd w:val="clear" w:color="auto" w:fill="C1F0C7" w:themeFill="accent3" w:themeFillTint="33"/>
        <w:tblLook w:val="04A0" w:firstRow="1" w:lastRow="0" w:firstColumn="1" w:lastColumn="0" w:noHBand="0" w:noVBand="1"/>
      </w:tblPr>
      <w:tblGrid>
        <w:gridCol w:w="9350"/>
      </w:tblGrid>
      <w:tr w:rsidR="00D2602A" w14:paraId="4500270B" w14:textId="77777777" w:rsidTr="00854CE7">
        <w:tc>
          <w:tcPr>
            <w:tcW w:w="9350" w:type="dxa"/>
            <w:tcBorders>
              <w:top w:val="nil"/>
              <w:left w:val="nil"/>
              <w:bottom w:val="nil"/>
              <w:right w:val="nil"/>
            </w:tcBorders>
            <w:shd w:val="clear" w:color="auto" w:fill="C1F0C7" w:themeFill="accent3" w:themeFillTint="33"/>
          </w:tcPr>
          <w:p w14:paraId="675F1045" w14:textId="4D47E0F4" w:rsidR="00D2602A" w:rsidRPr="00D2602A" w:rsidRDefault="00D2602A" w:rsidP="00D2602A">
            <w:pPr>
              <w:rPr>
                <w:b/>
                <w:bCs/>
              </w:rPr>
            </w:pPr>
            <w:r>
              <w:rPr>
                <w:b/>
                <w:bCs/>
              </w:rPr>
              <w:t>Students</w:t>
            </w:r>
            <w:r w:rsidRPr="00D2602A">
              <w:rPr>
                <w:b/>
                <w:bCs/>
              </w:rPr>
              <w:t xml:space="preserve"> </w:t>
            </w:r>
          </w:p>
        </w:tc>
      </w:tr>
    </w:tbl>
    <w:p w14:paraId="31E6B421" w14:textId="77777777" w:rsidR="00D2602A" w:rsidRDefault="00D2602A" w:rsidP="00D2602A">
      <w:pPr>
        <w:spacing w:after="0" w:line="240" w:lineRule="auto"/>
        <w:rPr>
          <w:b/>
          <w:bCs/>
        </w:rPr>
      </w:pPr>
    </w:p>
    <w:p w14:paraId="179445A3" w14:textId="77777777" w:rsidR="00D2602A" w:rsidRPr="002D02B5" w:rsidRDefault="00D2602A" w:rsidP="00D2602A">
      <w:pPr>
        <w:spacing w:after="0" w:line="240" w:lineRule="auto"/>
        <w:ind w:left="720"/>
        <w:rPr>
          <w:b/>
          <w:bCs/>
        </w:rPr>
      </w:pPr>
      <w:r w:rsidRPr="002D02B5">
        <w:rPr>
          <w:b/>
          <w:bCs/>
        </w:rPr>
        <w:t>Student Rights and Responsibilities</w:t>
      </w:r>
      <w:r w:rsidRPr="002D02B5">
        <w:t xml:space="preserve">: </w:t>
      </w:r>
      <w:hyperlink r:id="rId10" w:history="1">
        <w:r w:rsidRPr="000B22A8">
          <w:rPr>
            <w:rStyle w:val="Hyperlink"/>
          </w:rPr>
          <w:t>https://regulations.utah.edu/academics/6-400.php</w:t>
        </w:r>
      </w:hyperlink>
    </w:p>
    <w:p w14:paraId="353782B5" w14:textId="67A8F0B3" w:rsidR="0018565A" w:rsidRDefault="00D2602A" w:rsidP="008E046E">
      <w:pPr>
        <w:spacing w:after="0" w:line="240" w:lineRule="auto"/>
        <w:ind w:left="1440"/>
      </w:pPr>
      <w:r>
        <w:t>Includes sections on student responsibilities and student behavior standards.</w:t>
      </w:r>
    </w:p>
    <w:p w14:paraId="25F1204C" w14:textId="77777777" w:rsidR="0018565A" w:rsidRDefault="0018565A" w:rsidP="0018565A">
      <w:pPr>
        <w:spacing w:after="0" w:line="240" w:lineRule="auto"/>
      </w:pPr>
    </w:p>
    <w:p w14:paraId="378DFD3F" w14:textId="40F58238" w:rsidR="0018565A" w:rsidRDefault="0018565A" w:rsidP="00EC0357">
      <w:pPr>
        <w:spacing w:after="0" w:line="240" w:lineRule="auto"/>
        <w:ind w:left="720"/>
      </w:pPr>
      <w:r>
        <w:rPr>
          <w:b/>
          <w:bCs/>
        </w:rPr>
        <w:t>Student Expression Guidelines</w:t>
      </w:r>
      <w:r w:rsidR="00E55171">
        <w:rPr>
          <w:b/>
          <w:bCs/>
        </w:rPr>
        <w:t>:</w:t>
      </w:r>
      <w:r w:rsidR="00EC0357">
        <w:rPr>
          <w:b/>
          <w:bCs/>
        </w:rPr>
        <w:t xml:space="preserve"> </w:t>
      </w:r>
      <w:hyperlink r:id="rId11" w:history="1">
        <w:r w:rsidR="00EC0357" w:rsidRPr="008E046E">
          <w:rPr>
            <w:rStyle w:val="Hyperlink"/>
          </w:rPr>
          <w:t>https://deanofstudents.utah.edu/expression/index.php</w:t>
        </w:r>
      </w:hyperlink>
    </w:p>
    <w:p w14:paraId="6449C1AE" w14:textId="2591642E" w:rsidR="00E55171" w:rsidRDefault="00E55171" w:rsidP="008E046E">
      <w:pPr>
        <w:spacing w:after="0" w:line="240" w:lineRule="auto"/>
        <w:ind w:left="1440"/>
      </w:pPr>
      <w:r>
        <w:t>Includes details of protected speech at the U and guidelines for student protest.</w:t>
      </w:r>
    </w:p>
    <w:p w14:paraId="7E928678" w14:textId="77777777" w:rsidR="00E55171" w:rsidRDefault="00E55171" w:rsidP="0018565A">
      <w:pPr>
        <w:spacing w:after="0" w:line="240" w:lineRule="auto"/>
      </w:pPr>
    </w:p>
    <w:p w14:paraId="03BAB6B6" w14:textId="77777777" w:rsidR="00E55171" w:rsidRDefault="00E55171" w:rsidP="008E046E">
      <w:pPr>
        <w:spacing w:after="0" w:line="240" w:lineRule="auto"/>
        <w:ind w:firstLine="720"/>
      </w:pPr>
      <w:r>
        <w:rPr>
          <w:b/>
          <w:bCs/>
        </w:rPr>
        <w:t xml:space="preserve">Dean of Students: </w:t>
      </w:r>
      <w:hyperlink r:id="rId12" w:history="1">
        <w:r w:rsidRPr="00D92FC2">
          <w:rPr>
            <w:rStyle w:val="Hyperlink"/>
          </w:rPr>
          <w:t>deanofstudents@utah.edu</w:t>
        </w:r>
      </w:hyperlink>
      <w:r>
        <w:t>, 801-581-7066</w:t>
      </w:r>
    </w:p>
    <w:p w14:paraId="2D000829" w14:textId="77777777" w:rsidR="00E55171" w:rsidRDefault="00E55171" w:rsidP="00E55171">
      <w:pPr>
        <w:spacing w:after="0" w:line="240" w:lineRule="auto"/>
      </w:pPr>
      <w:r>
        <w:tab/>
      </w:r>
      <w:r>
        <w:tab/>
        <w:t>Can be reached for consultation about student expression.</w:t>
      </w:r>
    </w:p>
    <w:p w14:paraId="747E9AFF" w14:textId="77777777" w:rsidR="00D2602A" w:rsidRDefault="00D2602A" w:rsidP="00D2602A">
      <w:pPr>
        <w:spacing w:after="0" w:line="240" w:lineRule="auto"/>
      </w:pPr>
    </w:p>
    <w:tbl>
      <w:tblPr>
        <w:tblStyle w:val="TableGrid"/>
        <w:tblW w:w="0" w:type="auto"/>
        <w:shd w:val="clear" w:color="auto" w:fill="C1F0C7" w:themeFill="accent3" w:themeFillTint="33"/>
        <w:tblLook w:val="04A0" w:firstRow="1" w:lastRow="0" w:firstColumn="1" w:lastColumn="0" w:noHBand="0" w:noVBand="1"/>
      </w:tblPr>
      <w:tblGrid>
        <w:gridCol w:w="9350"/>
      </w:tblGrid>
      <w:tr w:rsidR="00D2602A" w14:paraId="68A01769" w14:textId="77777777" w:rsidTr="00854CE7">
        <w:tc>
          <w:tcPr>
            <w:tcW w:w="9350" w:type="dxa"/>
            <w:tcBorders>
              <w:top w:val="nil"/>
              <w:left w:val="nil"/>
              <w:bottom w:val="nil"/>
              <w:right w:val="nil"/>
            </w:tcBorders>
            <w:shd w:val="clear" w:color="auto" w:fill="C1F0C7" w:themeFill="accent3" w:themeFillTint="33"/>
          </w:tcPr>
          <w:p w14:paraId="380D1309" w14:textId="57D20858" w:rsidR="00D2602A" w:rsidRPr="00D2602A" w:rsidRDefault="00D2602A" w:rsidP="00D2602A">
            <w:pPr>
              <w:rPr>
                <w:b/>
                <w:bCs/>
              </w:rPr>
            </w:pPr>
            <w:r>
              <w:rPr>
                <w:b/>
                <w:bCs/>
              </w:rPr>
              <w:t>Faculty</w:t>
            </w:r>
          </w:p>
        </w:tc>
      </w:tr>
    </w:tbl>
    <w:p w14:paraId="5DD5F757" w14:textId="77777777" w:rsidR="00D2602A" w:rsidRPr="003B4A4B" w:rsidRDefault="00D2602A" w:rsidP="00D2602A">
      <w:pPr>
        <w:spacing w:after="0" w:line="240" w:lineRule="auto"/>
      </w:pPr>
    </w:p>
    <w:p w14:paraId="7E25F177" w14:textId="2E644B65" w:rsidR="003B4A4B" w:rsidRPr="003B4A4B" w:rsidRDefault="003B4A4B" w:rsidP="00D2602A">
      <w:pPr>
        <w:spacing w:after="0" w:line="240" w:lineRule="auto"/>
        <w:ind w:left="720"/>
      </w:pPr>
      <w:r>
        <w:rPr>
          <w:b/>
          <w:bCs/>
        </w:rPr>
        <w:t>Code of Faculty Rights and Responsibilities</w:t>
      </w:r>
      <w:r w:rsidRPr="003B4A4B">
        <w:t xml:space="preserve">: </w:t>
      </w:r>
      <w:hyperlink r:id="rId13" w:history="1">
        <w:r w:rsidRPr="000B22A8">
          <w:rPr>
            <w:rStyle w:val="Hyperlink"/>
          </w:rPr>
          <w:t>https://regulations</w:t>
        </w:r>
      </w:hyperlink>
      <w:r w:rsidRPr="003B4A4B">
        <w:t>.utah.edu/academics/6-316.php</w:t>
      </w:r>
    </w:p>
    <w:p w14:paraId="767AEB73" w14:textId="725E3335" w:rsidR="00FC0F85" w:rsidRDefault="003B4A4B" w:rsidP="00D2602A">
      <w:pPr>
        <w:spacing w:after="0" w:line="240" w:lineRule="auto"/>
        <w:ind w:left="1440"/>
      </w:pPr>
      <w:r>
        <w:t>Includes the general provisions, academic rights, ethical canons, and rules for faculty. The Rules include general duties, duties to students, professional obligations, and obligations to the university.</w:t>
      </w:r>
    </w:p>
    <w:p w14:paraId="0BF16880" w14:textId="28BFA591" w:rsidR="00D2602A" w:rsidRDefault="00D2602A" w:rsidP="00D2602A">
      <w:pPr>
        <w:spacing w:after="0" w:line="240" w:lineRule="auto"/>
      </w:pPr>
    </w:p>
    <w:tbl>
      <w:tblPr>
        <w:tblStyle w:val="TableGrid"/>
        <w:tblW w:w="0" w:type="auto"/>
        <w:shd w:val="clear" w:color="auto" w:fill="C1F0C7" w:themeFill="accent3" w:themeFillTint="33"/>
        <w:tblLook w:val="04A0" w:firstRow="1" w:lastRow="0" w:firstColumn="1" w:lastColumn="0" w:noHBand="0" w:noVBand="1"/>
      </w:tblPr>
      <w:tblGrid>
        <w:gridCol w:w="9350"/>
      </w:tblGrid>
      <w:tr w:rsidR="00D2602A" w14:paraId="6301332E" w14:textId="77777777" w:rsidTr="00854CE7">
        <w:tc>
          <w:tcPr>
            <w:tcW w:w="9350" w:type="dxa"/>
            <w:tcBorders>
              <w:top w:val="nil"/>
              <w:left w:val="nil"/>
              <w:bottom w:val="nil"/>
              <w:right w:val="nil"/>
            </w:tcBorders>
            <w:shd w:val="clear" w:color="auto" w:fill="C1F0C7" w:themeFill="accent3" w:themeFillTint="33"/>
          </w:tcPr>
          <w:p w14:paraId="4742A6AE" w14:textId="3202BA4C" w:rsidR="00D2602A" w:rsidRPr="00D2602A" w:rsidRDefault="00D2602A" w:rsidP="00854CE7">
            <w:pPr>
              <w:rPr>
                <w:b/>
                <w:bCs/>
              </w:rPr>
            </w:pPr>
            <w:r>
              <w:rPr>
                <w:b/>
                <w:bCs/>
              </w:rPr>
              <w:t>Leadership Transition</w:t>
            </w:r>
          </w:p>
        </w:tc>
      </w:tr>
    </w:tbl>
    <w:p w14:paraId="0A7391B3" w14:textId="77777777" w:rsidR="00D2602A" w:rsidRDefault="00D2602A" w:rsidP="00D2602A">
      <w:pPr>
        <w:spacing w:after="0" w:line="240" w:lineRule="auto"/>
      </w:pPr>
    </w:p>
    <w:p w14:paraId="667E8514" w14:textId="77777777" w:rsidR="00FC0F85" w:rsidRDefault="00FC0F85" w:rsidP="00D2602A">
      <w:pPr>
        <w:spacing w:after="0" w:line="240" w:lineRule="auto"/>
        <w:ind w:left="720"/>
      </w:pPr>
      <w:r w:rsidRPr="00FC0F85">
        <w:rPr>
          <w:b/>
          <w:bCs/>
        </w:rPr>
        <w:t>U of U Federal Transition Guidance:</w:t>
      </w:r>
      <w:r w:rsidRPr="00FC0F85">
        <w:t xml:space="preserve"> </w:t>
      </w:r>
      <w:hyperlink r:id="rId14" w:tgtFrame="_blank" w:history="1">
        <w:r w:rsidRPr="00FC0F85">
          <w:rPr>
            <w:rStyle w:val="Hyperlink"/>
          </w:rPr>
          <w:t>https://www.utah.edu/federal-transition/</w:t>
        </w:r>
      </w:hyperlink>
      <w:r w:rsidRPr="00FC0F85">
        <w:t>  </w:t>
      </w:r>
    </w:p>
    <w:p w14:paraId="56D24968" w14:textId="6ADD67DB" w:rsidR="00FC0F85" w:rsidRDefault="003B4A4B" w:rsidP="00D2602A">
      <w:pPr>
        <w:spacing w:after="0" w:line="240" w:lineRule="auto"/>
        <w:ind w:left="1440"/>
      </w:pPr>
      <w:r>
        <w:t xml:space="preserve">Information related to the transition to new leadership in Washington, D.C., including information about changes to research, immigration, academics, and health care. </w:t>
      </w:r>
    </w:p>
    <w:p w14:paraId="2262A904" w14:textId="77777777" w:rsidR="00845494" w:rsidRDefault="00845494" w:rsidP="00845494">
      <w:pPr>
        <w:spacing w:after="0" w:line="240" w:lineRule="auto"/>
      </w:pPr>
    </w:p>
    <w:tbl>
      <w:tblPr>
        <w:tblStyle w:val="TableGrid"/>
        <w:tblW w:w="0" w:type="auto"/>
        <w:shd w:val="clear" w:color="auto" w:fill="C1F0C7" w:themeFill="accent3" w:themeFillTint="33"/>
        <w:tblLook w:val="04A0" w:firstRow="1" w:lastRow="0" w:firstColumn="1" w:lastColumn="0" w:noHBand="0" w:noVBand="1"/>
      </w:tblPr>
      <w:tblGrid>
        <w:gridCol w:w="9350"/>
      </w:tblGrid>
      <w:tr w:rsidR="00845494" w14:paraId="4AA810D2" w14:textId="77777777" w:rsidTr="008070C5">
        <w:tc>
          <w:tcPr>
            <w:tcW w:w="9350" w:type="dxa"/>
            <w:tcBorders>
              <w:top w:val="nil"/>
              <w:left w:val="nil"/>
              <w:bottom w:val="nil"/>
              <w:right w:val="nil"/>
            </w:tcBorders>
            <w:shd w:val="clear" w:color="auto" w:fill="C1F0C7" w:themeFill="accent3" w:themeFillTint="33"/>
          </w:tcPr>
          <w:p w14:paraId="1BA60204" w14:textId="20E40E04" w:rsidR="00845494" w:rsidRPr="00D2602A" w:rsidRDefault="00845494" w:rsidP="008070C5">
            <w:pPr>
              <w:rPr>
                <w:b/>
                <w:bCs/>
              </w:rPr>
            </w:pPr>
            <w:bookmarkStart w:id="0" w:name="_Hlk195613184"/>
            <w:r>
              <w:rPr>
                <w:b/>
                <w:bCs/>
              </w:rPr>
              <w:t>APA Resources</w:t>
            </w:r>
            <w:r w:rsidR="00A62A70">
              <w:rPr>
                <w:b/>
                <w:bCs/>
              </w:rPr>
              <w:t xml:space="preserve"> (Ethics &amp; Advocacy)</w:t>
            </w:r>
          </w:p>
        </w:tc>
      </w:tr>
      <w:bookmarkEnd w:id="0"/>
    </w:tbl>
    <w:p w14:paraId="2C9A1910" w14:textId="77777777" w:rsidR="00845494" w:rsidRDefault="00845494" w:rsidP="00845494">
      <w:pPr>
        <w:spacing w:after="0" w:line="240" w:lineRule="auto"/>
      </w:pPr>
    </w:p>
    <w:p w14:paraId="11334778" w14:textId="198C7767" w:rsidR="00B53E6E" w:rsidRDefault="00D840F0" w:rsidP="00B53E6E">
      <w:pPr>
        <w:spacing w:after="0" w:line="240" w:lineRule="auto"/>
        <w:ind w:left="720"/>
      </w:pPr>
      <w:r>
        <w:rPr>
          <w:b/>
          <w:bCs/>
        </w:rPr>
        <w:t xml:space="preserve">Ethical Principles of Psychologists and Code of Conduct: </w:t>
      </w:r>
      <w:hyperlink r:id="rId15" w:history="1">
        <w:r w:rsidRPr="008E046E">
          <w:rPr>
            <w:rStyle w:val="Hyperlink"/>
          </w:rPr>
          <w:t>https://www.apa.org/ethics/code</w:t>
        </w:r>
      </w:hyperlink>
    </w:p>
    <w:p w14:paraId="552B9C2C" w14:textId="1C9E5179" w:rsidR="00D840F0" w:rsidRDefault="00CF27E2" w:rsidP="006A2F27">
      <w:pPr>
        <w:spacing w:after="0" w:line="240" w:lineRule="auto"/>
        <w:ind w:left="1440"/>
      </w:pPr>
      <w:r>
        <w:t xml:space="preserve">Discusses </w:t>
      </w:r>
      <w:r w:rsidR="006A2F27">
        <w:t>the principles psychologists are held to under APA and actions to take when ethic</w:t>
      </w:r>
      <w:r w:rsidR="00C42441">
        <w:t>al issues occur between one’s organization and the APA code.</w:t>
      </w:r>
    </w:p>
    <w:p w14:paraId="455254B0" w14:textId="77777777" w:rsidR="00A07AEF" w:rsidRDefault="00A07AEF" w:rsidP="006A2F27">
      <w:pPr>
        <w:spacing w:after="0" w:line="240" w:lineRule="auto"/>
        <w:ind w:left="1440"/>
      </w:pPr>
    </w:p>
    <w:p w14:paraId="0C86CC91" w14:textId="106467DB" w:rsidR="00A62A70" w:rsidRDefault="00A62A70" w:rsidP="008E046E">
      <w:pPr>
        <w:spacing w:after="0" w:line="240" w:lineRule="auto"/>
        <w:ind w:left="720"/>
        <w:rPr>
          <w:b/>
          <w:bCs/>
        </w:rPr>
      </w:pPr>
      <w:r>
        <w:rPr>
          <w:b/>
          <w:bCs/>
        </w:rPr>
        <w:t xml:space="preserve">APA Proposed Revision to Ethics Code: </w:t>
      </w:r>
    </w:p>
    <w:p w14:paraId="76F0EF5B" w14:textId="7C950285" w:rsidR="00A62A70" w:rsidRPr="00A62A70" w:rsidRDefault="00A62A70" w:rsidP="008E046E">
      <w:pPr>
        <w:spacing w:after="0" w:line="240" w:lineRule="auto"/>
        <w:ind w:left="720"/>
      </w:pPr>
      <w:hyperlink r:id="rId16" w:history="1">
        <w:r w:rsidRPr="00A62A70">
          <w:rPr>
            <w:rStyle w:val="Hyperlink"/>
          </w:rPr>
          <w:t>https://apps.apa.org/APACommentingPortal/attachments/Site125_Draft%20Revised%20Code_Final_Dec_2024.pdf</w:t>
        </w:r>
      </w:hyperlink>
      <w:r w:rsidRPr="00A62A70">
        <w:t xml:space="preserve"> </w:t>
      </w:r>
    </w:p>
    <w:p w14:paraId="288B032B" w14:textId="77777777" w:rsidR="00A62A70" w:rsidRDefault="00A62A70" w:rsidP="008E046E">
      <w:pPr>
        <w:spacing w:after="0" w:line="240" w:lineRule="auto"/>
        <w:ind w:left="720"/>
        <w:rPr>
          <w:b/>
          <w:bCs/>
        </w:rPr>
      </w:pPr>
    </w:p>
    <w:p w14:paraId="29AC4358" w14:textId="7B8E98DB" w:rsidR="00A07AEF" w:rsidRDefault="00A07AEF" w:rsidP="008E046E">
      <w:pPr>
        <w:spacing w:after="0" w:line="240" w:lineRule="auto"/>
        <w:ind w:left="720"/>
      </w:pPr>
      <w:r>
        <w:rPr>
          <w:b/>
          <w:bCs/>
        </w:rPr>
        <w:t xml:space="preserve">Provisions in APA Ethics Codes: </w:t>
      </w:r>
      <w:hyperlink r:id="rId17" w:history="1">
        <w:r w:rsidRPr="00D92FC2">
          <w:rPr>
            <w:rStyle w:val="Hyperlink"/>
          </w:rPr>
          <w:t>https://www.apa.org/ethics/code/provisions-codes.pdf</w:t>
        </w:r>
      </w:hyperlink>
    </w:p>
    <w:p w14:paraId="788CEF80" w14:textId="05C67F16" w:rsidR="00A07AEF" w:rsidRDefault="00A07AEF" w:rsidP="00A07AEF">
      <w:pPr>
        <w:spacing w:after="0" w:line="240" w:lineRule="auto"/>
        <w:ind w:left="1440"/>
      </w:pPr>
      <w:r>
        <w:t xml:space="preserve">Describes the history of provisions made in the APA code when ethics conflicted with law. </w:t>
      </w:r>
    </w:p>
    <w:p w14:paraId="1E1C4989" w14:textId="3E3DD3BA" w:rsidR="003F1645" w:rsidRDefault="003F1645" w:rsidP="003F1645">
      <w:pPr>
        <w:spacing w:after="0" w:line="240" w:lineRule="auto"/>
      </w:pPr>
      <w:r>
        <w:tab/>
      </w:r>
    </w:p>
    <w:p w14:paraId="74C38CE8" w14:textId="2575E73D" w:rsidR="003F1645" w:rsidRDefault="003F1645" w:rsidP="003F1645">
      <w:pPr>
        <w:spacing w:after="0" w:line="240" w:lineRule="auto"/>
      </w:pPr>
      <w:r>
        <w:tab/>
      </w:r>
      <w:r>
        <w:rPr>
          <w:b/>
          <w:bCs/>
        </w:rPr>
        <w:t xml:space="preserve">APA Advocacy Page: </w:t>
      </w:r>
      <w:hyperlink r:id="rId18" w:history="1">
        <w:r w:rsidRPr="00D92FC2">
          <w:rPr>
            <w:rStyle w:val="Hyperlink"/>
          </w:rPr>
          <w:t>https://www.apaservices.org/advocacy</w:t>
        </w:r>
      </w:hyperlink>
    </w:p>
    <w:p w14:paraId="1D1D9E76" w14:textId="661EC311" w:rsidR="003F1645" w:rsidRPr="003F1645" w:rsidRDefault="003F1645" w:rsidP="008E046E">
      <w:pPr>
        <w:spacing w:after="0" w:line="240" w:lineRule="auto"/>
      </w:pPr>
      <w:r>
        <w:tab/>
      </w:r>
      <w:r>
        <w:tab/>
        <w:t xml:space="preserve">Provides general </w:t>
      </w:r>
      <w:r w:rsidR="00355892">
        <w:t xml:space="preserve">resources on advocacy in psychology. </w:t>
      </w:r>
    </w:p>
    <w:p w14:paraId="3D4A7F1C" w14:textId="14469AFE" w:rsidR="00DC407B" w:rsidRDefault="00DC407B" w:rsidP="00DC407B">
      <w:pPr>
        <w:spacing w:after="0" w:line="240" w:lineRule="auto"/>
      </w:pPr>
    </w:p>
    <w:p w14:paraId="6C1F7388" w14:textId="4C7D4473" w:rsidR="52A23968" w:rsidRDefault="52A23968" w:rsidP="52A23968">
      <w:pPr>
        <w:spacing w:after="0" w:line="240" w:lineRule="auto"/>
        <w:ind w:left="720"/>
        <w:rPr>
          <w:b/>
          <w:bCs/>
        </w:rPr>
      </w:pPr>
      <w:r w:rsidRPr="52A23968">
        <w:rPr>
          <w:b/>
          <w:bCs/>
        </w:rPr>
        <w:t xml:space="preserve">APAGS Advocacy Toolkit: </w:t>
      </w:r>
      <w:hyperlink r:id="rId19">
        <w:r w:rsidRPr="52A23968">
          <w:rPr>
            <w:rStyle w:val="Hyperlink"/>
          </w:rPr>
          <w:t>https://www.apa.org/apags/resources/advocacy/toolkit</w:t>
        </w:r>
      </w:hyperlink>
      <w:r>
        <w:t xml:space="preserve"> </w:t>
      </w:r>
    </w:p>
    <w:p w14:paraId="0BCDCD85" w14:textId="021D9139" w:rsidR="00DC407B" w:rsidRDefault="00DC407B" w:rsidP="0083526E">
      <w:pPr>
        <w:spacing w:after="0" w:line="240" w:lineRule="auto"/>
        <w:ind w:left="720"/>
      </w:pPr>
      <w:r>
        <w:rPr>
          <w:b/>
          <w:bCs/>
        </w:rPr>
        <w:lastRenderedPageBreak/>
        <w:t xml:space="preserve">APAGS Advocacy Coordinating Team: </w:t>
      </w:r>
      <w:hyperlink r:id="rId20" w:history="1">
        <w:r w:rsidR="0083526E" w:rsidRPr="008E046E">
          <w:rPr>
            <w:rStyle w:val="Hyperlink"/>
          </w:rPr>
          <w:t>https://www.apa.org/apags/governance/subcommittees/act</w:t>
        </w:r>
      </w:hyperlink>
    </w:p>
    <w:p w14:paraId="0D0D8AD8" w14:textId="6C6CD2C6" w:rsidR="0083526E" w:rsidRDefault="0083526E" w:rsidP="007D32EF">
      <w:pPr>
        <w:spacing w:after="0" w:line="240" w:lineRule="auto"/>
        <w:ind w:left="1440"/>
      </w:pPr>
      <w:r>
        <w:t>Provides opportunities and resources for students t</w:t>
      </w:r>
      <w:r w:rsidR="007D32EF">
        <w:t>o engage in legislative advocacy on behalf of psychology researchers, practitioners, and clients.</w:t>
      </w:r>
    </w:p>
    <w:p w14:paraId="7BA7FF06" w14:textId="77777777" w:rsidR="004E4926" w:rsidRDefault="004E4926" w:rsidP="004E4926">
      <w:pPr>
        <w:spacing w:after="0" w:line="240" w:lineRule="auto"/>
      </w:pPr>
    </w:p>
    <w:tbl>
      <w:tblPr>
        <w:tblStyle w:val="TableGrid"/>
        <w:tblW w:w="0" w:type="auto"/>
        <w:shd w:val="clear" w:color="auto" w:fill="C1F0C7" w:themeFill="accent3" w:themeFillTint="33"/>
        <w:tblLook w:val="04A0" w:firstRow="1" w:lastRow="0" w:firstColumn="1" w:lastColumn="0" w:noHBand="0" w:noVBand="1"/>
      </w:tblPr>
      <w:tblGrid>
        <w:gridCol w:w="9350"/>
      </w:tblGrid>
      <w:tr w:rsidR="006426CC" w:rsidRPr="00D2602A" w14:paraId="3BFB035A" w14:textId="77777777" w:rsidTr="008070C5">
        <w:tc>
          <w:tcPr>
            <w:tcW w:w="9350" w:type="dxa"/>
            <w:tcBorders>
              <w:top w:val="nil"/>
              <w:left w:val="nil"/>
              <w:bottom w:val="nil"/>
              <w:right w:val="nil"/>
            </w:tcBorders>
            <w:shd w:val="clear" w:color="auto" w:fill="C1F0C7" w:themeFill="accent3" w:themeFillTint="33"/>
          </w:tcPr>
          <w:p w14:paraId="035A5852" w14:textId="18C3AA13" w:rsidR="006426CC" w:rsidRPr="00D2602A" w:rsidRDefault="006426CC" w:rsidP="008070C5">
            <w:pPr>
              <w:rPr>
                <w:b/>
                <w:bCs/>
              </w:rPr>
            </w:pPr>
            <w:r>
              <w:rPr>
                <w:b/>
                <w:bCs/>
              </w:rPr>
              <w:t>Speaker Resources from the PIE Workshop</w:t>
            </w:r>
          </w:p>
        </w:tc>
      </w:tr>
    </w:tbl>
    <w:p w14:paraId="4FF29846" w14:textId="77777777" w:rsidR="004E4926" w:rsidRDefault="004E4926">
      <w:pPr>
        <w:spacing w:after="0" w:line="240" w:lineRule="auto"/>
      </w:pPr>
    </w:p>
    <w:p w14:paraId="189AA28A" w14:textId="5DE994D1" w:rsidR="00455C1A" w:rsidRDefault="00080B81" w:rsidP="00080B81">
      <w:pPr>
        <w:spacing w:after="0" w:line="240" w:lineRule="auto"/>
        <w:ind w:firstLine="720"/>
      </w:pPr>
      <w:r w:rsidRPr="008E046E">
        <w:rPr>
          <w:b/>
          <w:bCs/>
        </w:rPr>
        <w:t>Legislation Tracking</w:t>
      </w:r>
      <w:r>
        <w:t xml:space="preserve">: </w:t>
      </w:r>
      <w:hyperlink r:id="rId21" w:history="1">
        <w:r w:rsidRPr="00232CF8">
          <w:rPr>
            <w:rStyle w:val="Hyperlink"/>
          </w:rPr>
          <w:t>https://le.utah.gov/bills/bills_By_Session.jsp</w:t>
        </w:r>
      </w:hyperlink>
    </w:p>
    <w:p w14:paraId="1BD3384F" w14:textId="0DC76CFC" w:rsidR="00080B81" w:rsidRPr="0083526E" w:rsidRDefault="00080B81" w:rsidP="008E046E">
      <w:pPr>
        <w:spacing w:after="0" w:line="240" w:lineRule="auto"/>
        <w:ind w:firstLine="720"/>
      </w:pPr>
      <w:r>
        <w:tab/>
        <w:t>Track and learn about bills in the Utah</w:t>
      </w:r>
      <w:r w:rsidR="00F669AD">
        <w:t xml:space="preserve"> State</w:t>
      </w:r>
      <w:r>
        <w:t xml:space="preserve"> </w:t>
      </w:r>
      <w:r w:rsidR="00F669AD">
        <w:t>L</w:t>
      </w:r>
      <w:r>
        <w:t xml:space="preserve">egislature. </w:t>
      </w:r>
    </w:p>
    <w:p w14:paraId="408FE80A" w14:textId="77777777" w:rsidR="00A62A70" w:rsidRDefault="00A62A70" w:rsidP="043772DA">
      <w:pPr>
        <w:spacing w:after="0" w:line="240" w:lineRule="auto"/>
        <w:ind w:firstLine="720"/>
        <w:rPr>
          <w:b/>
          <w:bCs/>
        </w:rPr>
      </w:pPr>
    </w:p>
    <w:p w14:paraId="5BCA0F2F" w14:textId="7DF524C0" w:rsidR="043772DA" w:rsidRPr="00A62A70" w:rsidRDefault="00A62A70" w:rsidP="043772DA">
      <w:pPr>
        <w:spacing w:after="0" w:line="240" w:lineRule="auto"/>
        <w:ind w:firstLine="720"/>
      </w:pPr>
      <w:r>
        <w:rPr>
          <w:b/>
          <w:bCs/>
        </w:rPr>
        <w:t xml:space="preserve">Research Translation Platform: </w:t>
      </w:r>
      <w:hyperlink r:id="rId22" w:history="1">
        <w:r w:rsidRPr="002B6785">
          <w:rPr>
            <w:rStyle w:val="Hyperlink"/>
          </w:rPr>
          <w:t>https://trestlelink.org/get-involved/network/</w:t>
        </w:r>
      </w:hyperlink>
      <w:r>
        <w:t xml:space="preserve"> </w:t>
      </w:r>
    </w:p>
    <w:p w14:paraId="7328450D" w14:textId="1B48E8D6" w:rsidR="043772DA" w:rsidRDefault="043772DA" w:rsidP="043772DA">
      <w:pPr>
        <w:spacing w:after="0" w:line="240" w:lineRule="auto"/>
        <w:ind w:firstLine="720"/>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360"/>
      </w:tblGrid>
      <w:tr w:rsidR="043772DA" w14:paraId="30A4A05B" w14:textId="77777777" w:rsidTr="043772DA">
        <w:trPr>
          <w:trHeight w:val="300"/>
        </w:trPr>
        <w:tc>
          <w:tcPr>
            <w:tcW w:w="9360" w:type="dxa"/>
            <w:shd w:val="clear" w:color="auto" w:fill="C1F0C7" w:themeFill="accent3" w:themeFillTint="33"/>
          </w:tcPr>
          <w:p w14:paraId="4914FC6F" w14:textId="043619AE" w:rsidR="043772DA" w:rsidRDefault="043772DA" w:rsidP="043772DA">
            <w:pPr>
              <w:rPr>
                <w:b/>
                <w:bCs/>
              </w:rPr>
            </w:pPr>
            <w:r w:rsidRPr="043772DA">
              <w:rPr>
                <w:b/>
                <w:bCs/>
              </w:rPr>
              <w:t>Legal Resources</w:t>
            </w:r>
          </w:p>
        </w:tc>
      </w:tr>
    </w:tbl>
    <w:p w14:paraId="53E6490F" w14:textId="4E1ABAA8" w:rsidR="043772DA" w:rsidRDefault="043772DA" w:rsidP="043772DA">
      <w:pPr>
        <w:spacing w:after="0" w:line="240" w:lineRule="auto"/>
        <w:ind w:firstLine="720"/>
      </w:pPr>
    </w:p>
    <w:p w14:paraId="3D855CE1" w14:textId="0C9BD50B" w:rsidR="082E6FA8" w:rsidRDefault="1998D9FD" w:rsidP="082E6FA8">
      <w:pPr>
        <w:spacing w:after="0" w:line="240" w:lineRule="auto"/>
        <w:ind w:firstLine="720"/>
      </w:pPr>
      <w:r w:rsidRPr="1998D9FD">
        <w:rPr>
          <w:b/>
          <w:bCs/>
        </w:rPr>
        <w:t>Legal Resources from Basic Needs</w:t>
      </w:r>
      <w:r>
        <w:t xml:space="preserve">: </w:t>
      </w:r>
      <w:hyperlink r:id="rId23">
        <w:r w:rsidRPr="1998D9FD">
          <w:rPr>
            <w:rStyle w:val="Hyperlink"/>
          </w:rPr>
          <w:t>https://basicneeds.utah.edu/legal-resources.php</w:t>
        </w:r>
      </w:hyperlink>
      <w:r>
        <w:t xml:space="preserve"> </w:t>
      </w:r>
      <w:r w:rsidR="082E6FA8">
        <w:tab/>
      </w:r>
      <w:r>
        <w:t xml:space="preserve"> </w:t>
      </w:r>
      <w:r w:rsidR="082E6FA8">
        <w:tab/>
      </w:r>
    </w:p>
    <w:p w14:paraId="5E8C6660" w14:textId="22617866" w:rsidR="1998D9FD" w:rsidRDefault="1998D9FD" w:rsidP="1998D9FD">
      <w:pPr>
        <w:spacing w:after="0" w:line="240" w:lineRule="auto"/>
        <w:ind w:firstLine="720"/>
      </w:pPr>
      <w:r w:rsidRPr="1998D9FD">
        <w:rPr>
          <w:b/>
          <w:bCs/>
        </w:rPr>
        <w:t xml:space="preserve">Office of General Counsel FAQ:  </w:t>
      </w:r>
      <w:hyperlink r:id="rId24">
        <w:r w:rsidRPr="1998D9FD">
          <w:rPr>
            <w:rStyle w:val="Hyperlink"/>
          </w:rPr>
          <w:t>https://legal.utah.edu/faq/</w:t>
        </w:r>
      </w:hyperlink>
    </w:p>
    <w:p w14:paraId="5A8E4BD2" w14:textId="0FE0482C" w:rsidR="1998D9FD" w:rsidRDefault="1998D9FD" w:rsidP="1998D9FD">
      <w:pPr>
        <w:spacing w:after="0" w:line="240" w:lineRule="auto"/>
        <w:ind w:firstLine="720"/>
      </w:pPr>
    </w:p>
    <w:sectPr w:rsidR="1998D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B2901"/>
    <w:multiLevelType w:val="multilevel"/>
    <w:tmpl w:val="87C87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8F2486"/>
    <w:multiLevelType w:val="multilevel"/>
    <w:tmpl w:val="B260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85"/>
    <w:rsid w:val="000438A3"/>
    <w:rsid w:val="00080B81"/>
    <w:rsid w:val="00091EBA"/>
    <w:rsid w:val="0018565A"/>
    <w:rsid w:val="001D7B38"/>
    <w:rsid w:val="002037D4"/>
    <w:rsid w:val="002558D3"/>
    <w:rsid w:val="002745F3"/>
    <w:rsid w:val="002D02B5"/>
    <w:rsid w:val="00355892"/>
    <w:rsid w:val="003B4A4B"/>
    <w:rsid w:val="003E2442"/>
    <w:rsid w:val="003F1645"/>
    <w:rsid w:val="00455C1A"/>
    <w:rsid w:val="00482A17"/>
    <w:rsid w:val="004E4926"/>
    <w:rsid w:val="005A5268"/>
    <w:rsid w:val="005D45B0"/>
    <w:rsid w:val="006426CC"/>
    <w:rsid w:val="006A2F27"/>
    <w:rsid w:val="007D32EF"/>
    <w:rsid w:val="007E1657"/>
    <w:rsid w:val="0083526E"/>
    <w:rsid w:val="00845494"/>
    <w:rsid w:val="00847C93"/>
    <w:rsid w:val="008E046E"/>
    <w:rsid w:val="00947AE4"/>
    <w:rsid w:val="00A07AEF"/>
    <w:rsid w:val="00A27298"/>
    <w:rsid w:val="00A62A70"/>
    <w:rsid w:val="00B53E6E"/>
    <w:rsid w:val="00C42441"/>
    <w:rsid w:val="00C77DD4"/>
    <w:rsid w:val="00CF27E2"/>
    <w:rsid w:val="00D2602A"/>
    <w:rsid w:val="00D840F0"/>
    <w:rsid w:val="00DC407B"/>
    <w:rsid w:val="00DD163C"/>
    <w:rsid w:val="00E55171"/>
    <w:rsid w:val="00EC0357"/>
    <w:rsid w:val="00F00D78"/>
    <w:rsid w:val="00F26697"/>
    <w:rsid w:val="00F669AD"/>
    <w:rsid w:val="00FA28F0"/>
    <w:rsid w:val="00FC0F85"/>
    <w:rsid w:val="00FF146B"/>
    <w:rsid w:val="043772DA"/>
    <w:rsid w:val="082E6FA8"/>
    <w:rsid w:val="1998D9FD"/>
    <w:rsid w:val="316C69F9"/>
    <w:rsid w:val="42375E4D"/>
    <w:rsid w:val="52A23968"/>
    <w:rsid w:val="74E5F431"/>
    <w:rsid w:val="75FFB748"/>
    <w:rsid w:val="7B47C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4EAF9"/>
  <w15:chartTrackingRefBased/>
  <w15:docId w15:val="{2893FE63-67EC-0942-A5B1-B2BC716A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A4B"/>
  </w:style>
  <w:style w:type="paragraph" w:styleId="Heading1">
    <w:name w:val="heading 1"/>
    <w:basedOn w:val="Normal"/>
    <w:next w:val="Normal"/>
    <w:link w:val="Heading1Char"/>
    <w:uiPriority w:val="9"/>
    <w:qFormat/>
    <w:rsid w:val="00FC0F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0F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0F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0F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0F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0F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0F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0F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0F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F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0F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0F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0F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0F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0F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0F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0F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0F85"/>
    <w:rPr>
      <w:rFonts w:eastAsiaTheme="majorEastAsia" w:cstheme="majorBidi"/>
      <w:color w:val="272727" w:themeColor="text1" w:themeTint="D8"/>
    </w:rPr>
  </w:style>
  <w:style w:type="paragraph" w:styleId="Title">
    <w:name w:val="Title"/>
    <w:basedOn w:val="Normal"/>
    <w:next w:val="Normal"/>
    <w:link w:val="TitleChar"/>
    <w:uiPriority w:val="10"/>
    <w:qFormat/>
    <w:rsid w:val="00FC0F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F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F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0F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0F85"/>
    <w:pPr>
      <w:spacing w:before="160"/>
      <w:jc w:val="center"/>
    </w:pPr>
    <w:rPr>
      <w:i/>
      <w:iCs/>
      <w:color w:val="404040" w:themeColor="text1" w:themeTint="BF"/>
    </w:rPr>
  </w:style>
  <w:style w:type="character" w:customStyle="1" w:styleId="QuoteChar">
    <w:name w:val="Quote Char"/>
    <w:basedOn w:val="DefaultParagraphFont"/>
    <w:link w:val="Quote"/>
    <w:uiPriority w:val="29"/>
    <w:rsid w:val="00FC0F85"/>
    <w:rPr>
      <w:i/>
      <w:iCs/>
      <w:color w:val="404040" w:themeColor="text1" w:themeTint="BF"/>
    </w:rPr>
  </w:style>
  <w:style w:type="paragraph" w:styleId="ListParagraph">
    <w:name w:val="List Paragraph"/>
    <w:basedOn w:val="Normal"/>
    <w:uiPriority w:val="34"/>
    <w:qFormat/>
    <w:rsid w:val="00FC0F85"/>
    <w:pPr>
      <w:ind w:left="720"/>
      <w:contextualSpacing/>
    </w:pPr>
  </w:style>
  <w:style w:type="character" w:styleId="IntenseEmphasis">
    <w:name w:val="Intense Emphasis"/>
    <w:basedOn w:val="DefaultParagraphFont"/>
    <w:uiPriority w:val="21"/>
    <w:qFormat/>
    <w:rsid w:val="00FC0F85"/>
    <w:rPr>
      <w:i/>
      <w:iCs/>
      <w:color w:val="0F4761" w:themeColor="accent1" w:themeShade="BF"/>
    </w:rPr>
  </w:style>
  <w:style w:type="paragraph" w:styleId="IntenseQuote">
    <w:name w:val="Intense Quote"/>
    <w:basedOn w:val="Normal"/>
    <w:next w:val="Normal"/>
    <w:link w:val="IntenseQuoteChar"/>
    <w:uiPriority w:val="30"/>
    <w:qFormat/>
    <w:rsid w:val="00FC0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0F85"/>
    <w:rPr>
      <w:i/>
      <w:iCs/>
      <w:color w:val="0F4761" w:themeColor="accent1" w:themeShade="BF"/>
    </w:rPr>
  </w:style>
  <w:style w:type="character" w:styleId="IntenseReference">
    <w:name w:val="Intense Reference"/>
    <w:basedOn w:val="DefaultParagraphFont"/>
    <w:uiPriority w:val="32"/>
    <w:qFormat/>
    <w:rsid w:val="00FC0F85"/>
    <w:rPr>
      <w:b/>
      <w:bCs/>
      <w:smallCaps/>
      <w:color w:val="0F4761" w:themeColor="accent1" w:themeShade="BF"/>
      <w:spacing w:val="5"/>
    </w:rPr>
  </w:style>
  <w:style w:type="character" w:styleId="Hyperlink">
    <w:name w:val="Hyperlink"/>
    <w:basedOn w:val="DefaultParagraphFont"/>
    <w:uiPriority w:val="99"/>
    <w:unhideWhenUsed/>
    <w:rsid w:val="00FC0F85"/>
    <w:rPr>
      <w:color w:val="467886" w:themeColor="hyperlink"/>
      <w:u w:val="single"/>
    </w:rPr>
  </w:style>
  <w:style w:type="character" w:styleId="UnresolvedMention">
    <w:name w:val="Unresolved Mention"/>
    <w:basedOn w:val="DefaultParagraphFont"/>
    <w:uiPriority w:val="99"/>
    <w:semiHidden/>
    <w:unhideWhenUsed/>
    <w:rsid w:val="00FC0F85"/>
    <w:rPr>
      <w:color w:val="605E5C"/>
      <w:shd w:val="clear" w:color="auto" w:fill="E1DFDD"/>
    </w:rPr>
  </w:style>
  <w:style w:type="character" w:styleId="FollowedHyperlink">
    <w:name w:val="FollowedHyperlink"/>
    <w:basedOn w:val="DefaultParagraphFont"/>
    <w:uiPriority w:val="99"/>
    <w:semiHidden/>
    <w:unhideWhenUsed/>
    <w:rsid w:val="00FC0F85"/>
    <w:rPr>
      <w:color w:val="96607D" w:themeColor="followedHyperlink"/>
      <w:u w:val="single"/>
    </w:rPr>
  </w:style>
  <w:style w:type="table" w:styleId="TableGrid">
    <w:name w:val="Table Grid"/>
    <w:basedOn w:val="TableNormal"/>
    <w:uiPriority w:val="39"/>
    <w:rsid w:val="00D26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7298"/>
    <w:rPr>
      <w:sz w:val="16"/>
      <w:szCs w:val="16"/>
    </w:rPr>
  </w:style>
  <w:style w:type="paragraph" w:styleId="CommentText">
    <w:name w:val="annotation text"/>
    <w:basedOn w:val="Normal"/>
    <w:link w:val="CommentTextChar"/>
    <w:uiPriority w:val="99"/>
    <w:semiHidden/>
    <w:unhideWhenUsed/>
    <w:rsid w:val="00A27298"/>
    <w:pPr>
      <w:spacing w:line="240" w:lineRule="auto"/>
    </w:pPr>
    <w:rPr>
      <w:sz w:val="20"/>
      <w:szCs w:val="20"/>
    </w:rPr>
  </w:style>
  <w:style w:type="character" w:customStyle="1" w:styleId="CommentTextChar">
    <w:name w:val="Comment Text Char"/>
    <w:basedOn w:val="DefaultParagraphFont"/>
    <w:link w:val="CommentText"/>
    <w:uiPriority w:val="99"/>
    <w:semiHidden/>
    <w:rsid w:val="00A27298"/>
    <w:rPr>
      <w:sz w:val="20"/>
      <w:szCs w:val="20"/>
    </w:rPr>
  </w:style>
  <w:style w:type="paragraph" w:styleId="CommentSubject">
    <w:name w:val="annotation subject"/>
    <w:basedOn w:val="CommentText"/>
    <w:next w:val="CommentText"/>
    <w:link w:val="CommentSubjectChar"/>
    <w:uiPriority w:val="99"/>
    <w:semiHidden/>
    <w:unhideWhenUsed/>
    <w:rsid w:val="00A27298"/>
    <w:rPr>
      <w:b/>
      <w:bCs/>
    </w:rPr>
  </w:style>
  <w:style w:type="character" w:customStyle="1" w:styleId="CommentSubjectChar">
    <w:name w:val="Comment Subject Char"/>
    <w:basedOn w:val="CommentTextChar"/>
    <w:link w:val="CommentSubject"/>
    <w:uiPriority w:val="99"/>
    <w:semiHidden/>
    <w:rsid w:val="00A27298"/>
    <w:rPr>
      <w:b/>
      <w:bCs/>
      <w:sz w:val="20"/>
      <w:szCs w:val="20"/>
    </w:rPr>
  </w:style>
  <w:style w:type="paragraph" w:styleId="Revision">
    <w:name w:val="Revision"/>
    <w:hidden/>
    <w:uiPriority w:val="99"/>
    <w:semiHidden/>
    <w:rsid w:val="00EC03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44950">
      <w:bodyDiv w:val="1"/>
      <w:marLeft w:val="0"/>
      <w:marRight w:val="0"/>
      <w:marTop w:val="0"/>
      <w:marBottom w:val="0"/>
      <w:divBdr>
        <w:top w:val="none" w:sz="0" w:space="0" w:color="auto"/>
        <w:left w:val="none" w:sz="0" w:space="0" w:color="auto"/>
        <w:bottom w:val="none" w:sz="0" w:space="0" w:color="auto"/>
        <w:right w:val="none" w:sz="0" w:space="0" w:color="auto"/>
      </w:divBdr>
      <w:divsChild>
        <w:div w:id="1008362354">
          <w:marLeft w:val="0"/>
          <w:marRight w:val="0"/>
          <w:marTop w:val="0"/>
          <w:marBottom w:val="0"/>
          <w:divBdr>
            <w:top w:val="none" w:sz="0" w:space="0" w:color="auto"/>
            <w:left w:val="none" w:sz="0" w:space="0" w:color="auto"/>
            <w:bottom w:val="none" w:sz="0" w:space="0" w:color="auto"/>
            <w:right w:val="none" w:sz="0" w:space="0" w:color="auto"/>
          </w:divBdr>
        </w:div>
        <w:div w:id="881290999">
          <w:marLeft w:val="0"/>
          <w:marRight w:val="0"/>
          <w:marTop w:val="0"/>
          <w:marBottom w:val="0"/>
          <w:divBdr>
            <w:top w:val="none" w:sz="0" w:space="0" w:color="auto"/>
            <w:left w:val="none" w:sz="0" w:space="0" w:color="auto"/>
            <w:bottom w:val="none" w:sz="0" w:space="0" w:color="auto"/>
            <w:right w:val="none" w:sz="0" w:space="0" w:color="auto"/>
          </w:divBdr>
          <w:divsChild>
            <w:div w:id="621962855">
              <w:marLeft w:val="0"/>
              <w:marRight w:val="0"/>
              <w:marTop w:val="0"/>
              <w:marBottom w:val="0"/>
              <w:divBdr>
                <w:top w:val="none" w:sz="0" w:space="0" w:color="auto"/>
                <w:left w:val="none" w:sz="0" w:space="0" w:color="auto"/>
                <w:bottom w:val="none" w:sz="0" w:space="0" w:color="auto"/>
                <w:right w:val="none" w:sz="0" w:space="0" w:color="auto"/>
              </w:divBdr>
            </w:div>
            <w:div w:id="766536977">
              <w:marLeft w:val="0"/>
              <w:marRight w:val="0"/>
              <w:marTop w:val="0"/>
              <w:marBottom w:val="0"/>
              <w:divBdr>
                <w:top w:val="none" w:sz="0" w:space="0" w:color="auto"/>
                <w:left w:val="none" w:sz="0" w:space="0" w:color="auto"/>
                <w:bottom w:val="none" w:sz="0" w:space="0" w:color="auto"/>
                <w:right w:val="none" w:sz="0" w:space="0" w:color="auto"/>
              </w:divBdr>
            </w:div>
            <w:div w:id="1320769567">
              <w:marLeft w:val="0"/>
              <w:marRight w:val="0"/>
              <w:marTop w:val="0"/>
              <w:marBottom w:val="0"/>
              <w:divBdr>
                <w:top w:val="none" w:sz="0" w:space="0" w:color="auto"/>
                <w:left w:val="none" w:sz="0" w:space="0" w:color="auto"/>
                <w:bottom w:val="none" w:sz="0" w:space="0" w:color="auto"/>
                <w:right w:val="none" w:sz="0" w:space="0" w:color="auto"/>
              </w:divBdr>
            </w:div>
            <w:div w:id="1350838089">
              <w:marLeft w:val="0"/>
              <w:marRight w:val="0"/>
              <w:marTop w:val="0"/>
              <w:marBottom w:val="0"/>
              <w:divBdr>
                <w:top w:val="none" w:sz="0" w:space="0" w:color="auto"/>
                <w:left w:val="none" w:sz="0" w:space="0" w:color="auto"/>
                <w:bottom w:val="none" w:sz="0" w:space="0" w:color="auto"/>
                <w:right w:val="none" w:sz="0" w:space="0" w:color="auto"/>
              </w:divBdr>
            </w:div>
            <w:div w:id="5092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9016">
      <w:bodyDiv w:val="1"/>
      <w:marLeft w:val="0"/>
      <w:marRight w:val="0"/>
      <w:marTop w:val="0"/>
      <w:marBottom w:val="0"/>
      <w:divBdr>
        <w:top w:val="none" w:sz="0" w:space="0" w:color="auto"/>
        <w:left w:val="none" w:sz="0" w:space="0" w:color="auto"/>
        <w:bottom w:val="none" w:sz="0" w:space="0" w:color="auto"/>
        <w:right w:val="none" w:sz="0" w:space="0" w:color="auto"/>
      </w:divBdr>
    </w:div>
    <w:div w:id="2067678844">
      <w:bodyDiv w:val="1"/>
      <w:marLeft w:val="0"/>
      <w:marRight w:val="0"/>
      <w:marTop w:val="0"/>
      <w:marBottom w:val="0"/>
      <w:divBdr>
        <w:top w:val="none" w:sz="0" w:space="0" w:color="auto"/>
        <w:left w:val="none" w:sz="0" w:space="0" w:color="auto"/>
        <w:bottom w:val="none" w:sz="0" w:space="0" w:color="auto"/>
        <w:right w:val="none" w:sz="0" w:space="0" w:color="auto"/>
      </w:divBdr>
    </w:div>
    <w:div w:id="214730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powerdms.com/Uta7295/tree/documents/1826163" TargetMode="External"/><Relationship Id="rId13" Type="http://schemas.openxmlformats.org/officeDocument/2006/relationships/hyperlink" Target="https://regulations" TargetMode="External"/><Relationship Id="rId18" Type="http://schemas.openxmlformats.org/officeDocument/2006/relationships/hyperlink" Target="https://www.apaservices.org/advocac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e.utah.gov/bills/bills_By_Session.jsp" TargetMode="External"/><Relationship Id="rId7" Type="http://schemas.openxmlformats.org/officeDocument/2006/relationships/hyperlink" Target="https://attheu.utah.edu/facultystaff/engaging-with-policymakers-as-a-u-clinician-or-scholar/" TargetMode="External"/><Relationship Id="rId12" Type="http://schemas.openxmlformats.org/officeDocument/2006/relationships/hyperlink" Target="mailto:deanofstudents@utah.edu" TargetMode="External"/><Relationship Id="rId17" Type="http://schemas.openxmlformats.org/officeDocument/2006/relationships/hyperlink" Target="https://www.apa.org/ethics/code/provisions-codes.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pps.apa.org/APACommentingPortal/attachments/Site125_Draft%20Revised%20Code_Final_Dec_2024.pdf" TargetMode="External"/><Relationship Id="rId20" Type="http://schemas.openxmlformats.org/officeDocument/2006/relationships/hyperlink" Target="https://www.apa.org/apags/governance/subcommittees/act" TargetMode="External"/><Relationship Id="rId1" Type="http://schemas.openxmlformats.org/officeDocument/2006/relationships/numbering" Target="numbering.xml"/><Relationship Id="rId6" Type="http://schemas.openxmlformats.org/officeDocument/2006/relationships/hyperlink" Target="https://regulations.utah.edu/general/1-007.php" TargetMode="External"/><Relationship Id="rId11" Type="http://schemas.openxmlformats.org/officeDocument/2006/relationships/hyperlink" Target="https://deanofstudents.utah.edu/expression/index.php" TargetMode="External"/><Relationship Id="rId24" Type="http://schemas.openxmlformats.org/officeDocument/2006/relationships/hyperlink" Target="https://legal.utah.edu/faq/" TargetMode="External"/><Relationship Id="rId5" Type="http://schemas.openxmlformats.org/officeDocument/2006/relationships/hyperlink" Target="https://attheu.utah.edu/facultystaff/spring-2025-annual-notification-to-campus-of-selected-university-of-utah-policies-and-resources/" TargetMode="External"/><Relationship Id="rId15" Type="http://schemas.openxmlformats.org/officeDocument/2006/relationships/hyperlink" Target="https://www.apa.org/ethics/code" TargetMode="External"/><Relationship Id="rId23" Type="http://schemas.openxmlformats.org/officeDocument/2006/relationships/hyperlink" Target="https://basicneeds.utah.edu/legal-resources.php" TargetMode="External"/><Relationship Id="rId10" Type="http://schemas.openxmlformats.org/officeDocument/2006/relationships/hyperlink" Target="https://regulations.utah.edu/academics/6-400.php" TargetMode="External"/><Relationship Id="rId19" Type="http://schemas.openxmlformats.org/officeDocument/2006/relationships/hyperlink" Target="https://www.apa.org/apags/resources/advocacy/toolkit" TargetMode="External"/><Relationship Id="rId4" Type="http://schemas.openxmlformats.org/officeDocument/2006/relationships/webSettings" Target="webSettings.xml"/><Relationship Id="rId9" Type="http://schemas.openxmlformats.org/officeDocument/2006/relationships/hyperlink" Target="https://regulations.utah.edu/human-resources/5-100.php" TargetMode="External"/><Relationship Id="rId14" Type="http://schemas.openxmlformats.org/officeDocument/2006/relationships/hyperlink" Target="https://www.utah.edu/federal-transition/" TargetMode="External"/><Relationship Id="rId22" Type="http://schemas.openxmlformats.org/officeDocument/2006/relationships/hyperlink" Target="https://trestlelink.org/get-involved/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889</Words>
  <Characters>5073</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R DEBOECK</dc:creator>
  <cp:keywords/>
  <dc:description/>
  <cp:lastModifiedBy>Sommer R Thorgusen (she/her)</cp:lastModifiedBy>
  <cp:revision>37</cp:revision>
  <dcterms:created xsi:type="dcterms:W3CDTF">2025-04-14T20:14:00Z</dcterms:created>
  <dcterms:modified xsi:type="dcterms:W3CDTF">2025-04-28T22:10:00Z</dcterms:modified>
</cp:coreProperties>
</file>